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057. “农技云课，手机学堂”——高素质农民数字技能培训需求与参与意愿研究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研究对象：接受过高素质农民培训的农民/新农人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核心问题/变量：培训需求、数字化技能自我效能、参与意愿、培训效果感知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培训需求、数字化技能自我效能（培训效果感知）之间存在可检验的关系，且受群体差异（年龄/收入/地区/身份）调节（待验证）；H2：培训需求、数字化技能自我效能是影响培训效果感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- **参考来源**：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