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058. “县域消费，县城新活”——县域青年消费升级与本地新业态使用意愿研究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研究对象：县域（含县城）18—35 岁居民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核心问题/变量：收入预期、消费升级意愿、新业态（咖啡/影院/国货）参与度、外流返乡意愿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H1：收入预期、消费升级意愿（外流返乡意愿）之间存在可检验的关系，且受群体差异（年龄/收入/地区/身份）调节（待验证）；H2：收入预期、消费升级意愿是影响外流返乡意愿的关键因素（待验证）。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