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599. “乡村咖啡，下沉的醇香”——县域乡村咖啡消费研究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研究对象：县城/乡镇咖啡店消费者、乡村咖啡馆主理人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核心问题/变量：县域咖啡消费增长、乡村咖啡馆（村咖）打卡动机、客单价与复购、与城市咖啡文化差异、带动乡村消费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H1：县域咖啡消费增长、乡村咖啡馆（村咖）打卡动机显著影响带动乡村消费（待验证）；H2：不同人群（年龄/收入/城市等级）在上述关系中存在调节作用（待验证）。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🔶县域咖啡热报道（媒体须下载核验）；✅县域商业建设政策（商务部）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县域咖啡馆问卷+主理人访谈；区别于488（社区咖啡角）聚焦县域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🔶县域咖啡热报道（媒体须下载核验）；✅县域商业建设政策（商务部）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