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626. “乡村美育课，孩子看世界”——乡村少儿美育（艺术、音乐、科学）公益与消费研究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研究对象：参与乡村美育项目（公益课/下乡志愿者/线上课）的儿童、家长与机构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核心问题/变量：乡村美育资源缺口、参与率、课程内容偏好、家庭付费意愿、志愿者/公益组织模式、效果感知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H1：乡村美育资源缺口、参与率（效果感知）之间存在可检验的关系，且受群体差异（年龄/收入/地区/身份）调节（待验证）；H2：乡村美育资源缺口、参与率是影响效果感知的关键因素（待验证）。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🔶乡村美育项目报道（央媒须下载核验）；✅乡村教育振兴政策（教育部）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乡村学校/公益机构渠道问卷；获奖黑名单核对：近三年无乡村美育获奖题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🔶乡村美育项目报道（央媒须下载核验）；✅乡村教育振兴政策（教育部）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