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658. “乡村养老院，县城养老热”——县域养老机构入住与消费研究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研究对象：入住县域/乡镇养老院的老人及其子女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核心问题/变量：县域养老院选择（价格/离家近）、服务内容（护理/医疗）、费用结构与补贴、子女探视、满意度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县域养老院选择（价格/离家近）、服务内容（护理/医疗）（满意度）之间存在可检验的关系，且受群体差异（年龄/收入/地区/身份）调节（待验证）；H2：县域养老院选择（价格/离家近）、服务内容（护理/医疗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🔶县域养老服务报告（民政部数据须下载核验）；✅县域养老服务体系建设政策（民政部）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县域养老院渠道问卷+院长访谈；获奖黑名单核对：近三年无县域养老院获奖题（区别于526试住）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🔶县域养老服务报告（民政部数据须下载核验）；✅县域养老服务体系建设政策（民政部）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