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676. “县城咖啡图书馆，文艺新空间”——县域复合空间（咖啡+书店）消费研究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研究对象：光顾县域咖啡书店/复合休闲空间的县城青年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核心问题/变量：县域复合空间消费动机（自习/社交/打卡）、消费内容（咖啡/书/文创）、价格接受、与原城市体验对比、供给缺口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县域复合空间消费动机（自习/社交/打卡）、消费内容（咖啡/书/文创）（供给缺口）之间存在可检验的关系，且受群体差异（年龄/收入/地区/身份）调节（待验证）；H2：县域复合空间消费动机（自习/社交/打卡）、消费内容（咖啡/书/文创）是影响供给缺口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🔶县域新消费空间报道（媒体须下载核验）；✅县域商业建设政策（商务部）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县域门店实地问卷+经营者访谈；获奖黑名单核对：近三年无县城复合空间获奖题（区别于599村咖）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🔶县域新消费空间报道（媒体须下载核验）；✅县域商业建设政策（商务部）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