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707. “乡村咖啡馆地图，一杯村咖”——县域乡村咖啡馆（村咖）打卡消费研究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研究对象：打卡乡村咖啡馆的游客与返乡青年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核心问题/变量：村咖打卡动机（出片/体验/返乡创业）、单杯价格与复购、乡村场景附加值、经营者画像（返乡/新农人）、可持续经营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H1：村咖打卡动机（出片/体验/返乡创业）、单杯价格与复购显著影响可持续经营（待验证）；H2：不同人群（年龄/收入/城市等级）在上述关系中存在调节作用（待验证）。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🔶村咖爆火报道（央媒须下载核验）；✅县域商业与乡村振兴政策（商务部）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村咖实地问卷+主理人访谈；获奖黑名单核对：近三年无村咖获奖题（区别于48/599村咖消费，聚焦打卡与创业）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🔶村咖爆火报道（央媒须下载核验）；✅县域商业与乡村振兴政策（商务部）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