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724. “共享农田，城里人种地”——共享菜园、市民农园租赁消费研究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建议地区：乡村（可按省/市细化抽样框）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确定行业：14_乡村振兴与县域经济（选择理由：贴合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研究对象：租赁共享菜园/市民农园（认养地块）的城市家庭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核心问题/变量：共享农田租赁动机（亲子/健康/田园梦）、年租金与面积、种植托管模式、产出分配、续租意愿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共享农田租赁动机（亲子/健康/田园梦）、年租金与面积（续租意愿）之间存在可检验的关系，且受群体差异（年龄/收入/地区/身份）调节（待验证）；H2：共享农田租赁动机（亲子/健康/田园梦）、年租金与面积是影响续租意愿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🔶共享菜园报道（农业媒体须下载核验）；✅休闲农业与乡村旅游政策（农业农村部）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农园渠道问卷+运营方访谈；获奖黑名单核对：近三年无共享农田获奖题（区别于607云认养）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🔶共享菜园报道（农业媒体须下载核验）；✅休闲农业与乡村旅游政策（农业农村部）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