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737. “县中崛起，教育县城化”——县城中学崛起与学生教育消费研究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建议地区：县城（可按省/市细化抽样框）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研究对象：县中（省级示范高中）学生家长、就读县中的学生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核心问题/变量：县中崛起背景（生源回流）、陪读/租房消费、课外辅导投入、师资与升学信心、与城市名校对比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H1：县中崛起背景（生源回流）、陪读/租房消费显著影响与城市名校对比（待验证）；H2：不同人群（年龄/收入/城市等级）在上述关系中存在调节作用（待验证）。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✅县中振兴计划（教育部）；🔶县中发展数据（须下载核验）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县中渠道问卷+家长访谈；获奖黑名单核对：近三年无县中教育获奖题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✅县中振兴计划（教育部）；🔶县中发展数据（须下载核验）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