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822. “乡村直播间建在果园，原产地直发”——原产地直播（果园、茶园）消费研究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研究对象：在产地直播间（果园/茶园/渔港）购买农产品的消费者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核心问题/变量：原产地直播信任（现场感/采摘）、产地直发新鲜度感知、与普通电商对比、价格与品质、复购率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H1：原产地直播信任（现场感/采摘）、产地直发新鲜度感知显著影响复购率（待验证）；H2：不同人群（年龄/收入/城市等级）在上述关系中存在调节作用（待验证）。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🔶产地直播模式报道（农业媒体须下载核验）；✅农产品电商与冷链政策（农业农村部）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产地直播间观众问卷+主播访谈；获奖黑名单核对：近三年无原产地直播获奖题（区别于795助农直播）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🔶产地直播模式报道（农业媒体须下载核验）；✅农产品电商与冷链政策（农业农村部）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