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844. “村咖2.0，县城咖啡围城”——县城咖啡消费（瑞幸县域扩张）研究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研究对象：县城（含乡镇）咖啡消费者与县域咖啡创业者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核心问题/变量：县城咖啡消费频次（瑞幸/库迪下沉）、价格敏感（9.9元）、县域咖啡习惯养成、与一线差异（客单/时段）、创业者机会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H1：县城咖啡消费频次（瑞幸/库迪下沉）、价格敏感（9.9元）显著影响创业者机会（待验证）；H2：不同人群（年龄/收入/城市等级）在上述关系中存在调节作用（待验证）。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🔶瑞幸县域扩张数据（品牌财报须下载核验）；✅县域商业建设政策（商务部）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县城门店实地问卷+加盟商访谈；获奖黑名单核对：近三年无县城咖啡获奖题（区别于599村咖、676县城复合空间）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🔶瑞幸县域扩张数据（品牌财报须下载核验）；✅县域商业建设政策（商务部）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