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863. “乡村旅拍基地，田园出片”——乡村旅拍（花海、田园、老宅）消费研究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研究对象：在乡村旅拍基地（花海/稻田/古村）拍照的游客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核心问题/变量：乡村旅拍动机（出片/逃离城市）、基地设施（道具/服装租赁）、拍摄消费与门票、农文旅融合带动、复访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H1：乡村旅拍动机（出片/逃离城市）、基地设施（道具/服装租赁）显著影响复访（待验证）；H2：不同人群（年龄/收入/城市等级）在上述关系中存在调节作用（待验证）。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🔶乡村旅拍基地报道（文旅媒体须下载核验）；✅农文旅融合政策（农业农村部、文旅部）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旅拍基地实地问卷+运营方访谈；获奖黑名单核对：近三年无乡村旅拍获奖题（区别于112汉服旅拍）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🔶乡村旅拍基地报道（文旅媒体须下载核验）；✅农文旅融合政策（农业农村部、文旅部）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