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088. “县域夜经济，烟火新地标”——县域夜间消费（夜市、商圈、夜游）需求与满意度研究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研究对象：县域居民及游客（近一年参与夜间消费）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核心问题/变量：夜间消费习惯、消费类型、满意度、消费潜力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H1：夜间消费习惯、消费类型显著影响消费潜力（待验证）；H2：不同人群（年龄/收入/城市等级）在上述关系中存在调节作用（待验证）。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✅2026上半年乡村消费品零售额33216亿元（+2.5%）；🔶夜经济发展政策（各地夜经济实施意见，待核验原文）；✅商务部培育夜间消费集聚区（政策背景）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县域夜市/商圈现场调研；与第二批县域消费板块互补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✅2026上半年乡村消费品零售额33216亿元（+2.5%）；🔶夜经济发展政策（各地夜经济实施意见，待核验原文）；✅商务部培育夜间消费集聚区（政策背景）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