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893. “农村小卖部改造，焕新便利店”——农村小卖部升级（便利店化）经营研究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研究对象：改造升级的农村小店店主、村民顾客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核心问题/变量：小卖部升级内容（货架/冷链/快递代收）、经营收益变化、进货渠道（B2B平台）、村民消费习惯、小店掌柜作用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H1：小卖部升级内容（货架/冷链/快递代收）、经营收益变化显著影响小店掌柜作用（待验证）；H2：不同人群（年龄/收入/城市等级）在上述关系中存在调节作用（待验证）。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🔶农村商业网点改造政策（商务部）；🔶农村小店改造案例（须下载核验）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小店实地问卷+店主访谈；获奖黑名单核对：近三年无农村小店升级获奖题（区别于686驿站）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🔶农村商业网点改造政策（商务部）；🔶农村小店改造案例（须下载核验）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