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907. “乡村设计师下乡，乡建美学”——乡村设计师、乡建改造（美学乡村）研究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研究对象：参与乡村改造的设计师团队、村干部、村民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核心问题/变量：乡村设计项目（民宿/村貌/公共空间）、村民参与度、设计落地（施工/材料）、美学与实用平衡、旅游带动、满意度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设计项目（民宿/村貌/公共空间）、村民参与度（满意度）之间存在可检验的关系，且受群体差异（年龄/收入/地区/身份）调节（待验证）；H2：乡村设计项目（民宿/村貌/公共空间）、村民参与度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🔶乡村建设与设计师下乡政策（住建部、农业农村部）；🔶乡建美学案例报道（须下载核验）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乡建团队问卷+试点村访谈；获奖黑名单核对：近三年无乡村设计获奖题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🔶乡村建设与设计师下乡政策（住建部、农业农村部）；🔶乡建美学案例报道（须下载核验）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