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927. “小院经济，一院一景”——乡村小院（庭院）经济消费研究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建议地区：乡村（可按省/市细化抽样框）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确定行业：14_乡村振兴与县域经济（选择理由：贴合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研究对象：经营庭院经济（小院餐饮/民宿/手作）的农户与游客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核心问题/变量：小院经济形态（餐饮/茶室/民宿）、农户投入与收益、游客消费（打卡/体验）、小院改造设计、政策扶持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H1：小院经济形态（餐饮/茶室/民宿）、农户投入与收益显著影响政策扶持（待验证）；H2：不同人群（年龄/收入/城市等级）在上述关系中存在调节作用（待验证）。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🔶庭院经济政策（农业农村部）；🔶小院经济案例报道（须下载核验）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小院农户问卷+游客访谈；获奖黑名单核对：近三年无庭院经济获奖题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🔶庭院经济政策（农业农村部）；🔶小院经济案例报道（须下载核验）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