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946. “乡村文创雪糕，网红出圈”——乡村、县域文创产品（雪糕、伴手礼）消费研究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研究对象：购买乡村文创产品（地标雪糕/伴手礼/盲盒）的游客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核心问题/变量：乡村文创购买动机（打卡/伴手礼）、地标IP设计吸引力、价格接受、与城市文创对比、复购与传播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H1：乡村文创购买动机（打卡/伴手礼）、地标IP设计吸引力显著影响复购与传播（待验证）；H2：不同人群（年龄/收入/城市等级）在上述关系中存在调节作用（待验证）。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🔶乡村文创与农文旅政策（农业农村部、文旅部）；🔶乡村文创案例（须下载核验）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乡村景区问卷+文创公司访谈；获奖黑名单核对：近三年无乡村文创雪糕获奖题（区别于672博物馆文创）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🔶乡村文创与农文旅政策（农业农村部、文旅部）；🔶乡村文创案例（须下载核验）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