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958. “县域夜校，县城年轻人充电”——县域青年夜校（县城版）参与研究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研究对象：参加县域/县城青年夜校的县城青年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核心问题/变量：县域夜校课程供给（技能/兴趣）、报名火爆度、与大城市夜校差异、社交圈拓展、县域青年发展需求、持续运营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夜校课程供给（技能/兴趣）、报名火爆度（持续运营）之间存在可检验的关系，且受群体差异（年龄/收入/地区/身份）调节（待验证）；H2：县域夜校课程供给（技能/兴趣）、报名火爆度是影响持续运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🔶青年夜校推广政策（共青团中央）；🔶县域夜校报道（须下载核验）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县域夜校机构问卷+学员访谈；获奖黑名单核对：近三年无县域夜校获奖题（区别于725青年夜校泛题，聚焦县域）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🔶青年夜校推广政策（共青团中央）；🔶县域夜校报道（须下载核验）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