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“银龄消费”——温州县域中年家庭关于中老年健康食品的品牌信任与复购频率研究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项目类型：社会调查</w:t>
      </w:r>
    </w:p>
    <w:p>
      <w:r>
        <w:rPr>
          <w:rFonts w:ascii="宋体" w:hAnsi="宋体" w:eastAsia="宋体"/>
          <w:b w:val="0"/>
          <w:sz w:val="22"/>
        </w:rPr>
        <w:t>研究地区/人群：中老年健康食品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研究对象：中老年健康食品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核心变量：品牌信任；复购频率</w:t>
      </w:r>
    </w:p>
    <w:p>
      <w:r>
        <w:rPr>
          <w:rFonts w:ascii="宋体" w:hAnsi="宋体" w:eastAsia="宋体"/>
          <w:b w:val="0"/>
          <w:sz w:val="22"/>
        </w:rPr>
        <w:t>两个可测研究点：品牌信任；复购频率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品牌信任越高，复购频率意愿越强；不同年龄、收入或使用经历群体存在差异。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可通过中老年健康食品相关社区、平台或机构招募样本，采用问卷与访谈测量品牌信任、复购频率及群体差异。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