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“银龄智护”——成渝城市群中年家庭关于杭州独居老人智能照护设备的使用障碍与月度支付意愿研究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研究地区/人群：杭州独居老人智能照护设备</w:t>
      </w:r>
    </w:p>
    <w:p>
      <w:r>
        <w:rPr>
          <w:rFonts w:ascii="宋体" w:hAnsi="宋体" w:eastAsia="宋体"/>
          <w:b w:val="0"/>
          <w:sz w:val="22"/>
        </w:rPr>
        <w:t>研究阶段：mid</w:t>
      </w:r>
    </w:p>
    <w:p>
      <w:r>
        <w:rPr>
          <w:rFonts w:ascii="宋体" w:hAnsi="宋体" w:eastAsia="宋体"/>
          <w:b w:val="0"/>
          <w:sz w:val="22"/>
        </w:rPr>
        <w:t>研究对象：杭州独居老人智能照护设备</w:t>
      </w:r>
    </w:p>
    <w:p>
      <w:r>
        <w:rPr>
          <w:rFonts w:ascii="宋体" w:hAnsi="宋体" w:eastAsia="宋体"/>
          <w:b/>
          <w:sz w:val="26"/>
        </w:rPr>
        <w:t>二、核心问题与变量</w:t>
      </w:r>
    </w:p>
    <w:p>
      <w:r>
        <w:rPr>
          <w:rFonts w:ascii="宋体" w:hAnsi="宋体" w:eastAsia="宋体"/>
          <w:b w:val="0"/>
          <w:sz w:val="22"/>
        </w:rPr>
        <w:t>核心变量：使用障碍；月度支付意愿</w:t>
      </w:r>
    </w:p>
    <w:p>
      <w:r>
        <w:rPr>
          <w:rFonts w:ascii="宋体" w:hAnsi="宋体" w:eastAsia="宋体"/>
          <w:b w:val="0"/>
          <w:sz w:val="22"/>
        </w:rPr>
        <w:t>两个可测研究点：使用障碍；月度支付意愿</w:t>
      </w:r>
    </w:p>
    <w:p>
      <w:r>
        <w:rPr>
          <w:rFonts w:ascii="宋体" w:hAnsi="宋体" w:eastAsia="宋体"/>
          <w:b/>
          <w:sz w:val="26"/>
        </w:rPr>
        <w:t>三、生成假设</w:t>
      </w:r>
    </w:p>
    <w:p>
      <w:r>
        <w:rPr>
          <w:rFonts w:ascii="宋体" w:hAnsi="宋体" w:eastAsia="宋体"/>
          <w:b w:val="0"/>
          <w:sz w:val="22"/>
        </w:rPr>
        <w:t>使用障碍越高，月度支付意愿意愿越强；不同年龄、收入或使用经历群体存在差异。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可通过杭州独居老人智能照护设备相关社区、平台或机构招募样本，采用问卷与访谈测量使用障碍、月度支付意愿及群体差异。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