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“银发旅居”——京津冀城市群高频使用者关于中老年旅居养老线路的安全感知与季节性出行意愿研究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