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“银龄消费”——杭州主城区低频使用者关于中老年健康食品的品牌信任与复购频率研究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研究地区/人群：中老年健康食品</w:t>
      </w:r>
    </w:p>
    <w:p>
      <w:r>
        <w:rPr>
          <w:rFonts w:ascii="宋体" w:hAnsi="宋体" w:eastAsia="宋体"/>
          <w:b w:val="0"/>
          <w:sz w:val="22"/>
        </w:rPr>
        <w:t>研究阶段：mid</w:t>
      </w:r>
    </w:p>
    <w:p>
      <w:r>
        <w:rPr>
          <w:rFonts w:ascii="宋体" w:hAnsi="宋体" w:eastAsia="宋体"/>
          <w:b w:val="0"/>
          <w:sz w:val="22"/>
        </w:rPr>
        <w:t>研究对象：中老年健康食品</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可通过中老年健康食品相关社区、平台或机构招募样本，采用问卷与访谈测量品牌信任、复购频率及群体差异。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