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“乐活晚年”——宁波都市圈低频使用者关于退休人群兴趣课程的课程获得感与持续参与意愿研究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研究地区/人群：退休人群兴趣课程</w:t>
      </w:r>
    </w:p>
    <w:p>
      <w:r>
        <w:rPr>
          <w:rFonts w:ascii="宋体" w:hAnsi="宋体" w:eastAsia="宋体"/>
          <w:b w:val="0"/>
          <w:sz w:val="22"/>
        </w:rPr>
        <w:t>研究阶段：mid</w:t>
      </w:r>
    </w:p>
    <w:p>
      <w:r>
        <w:rPr>
          <w:rFonts w:ascii="宋体" w:hAnsi="宋体" w:eastAsia="宋体"/>
          <w:b w:val="0"/>
          <w:sz w:val="22"/>
        </w:rPr>
        <w:t>研究对象：退休人群兴趣课程</w:t>
      </w:r>
    </w:p>
    <w:p>
      <w:r>
        <w:rPr>
          <w:rFonts w:ascii="宋体" w:hAnsi="宋体" w:eastAsia="宋体"/>
          <w:b/>
          <w:sz w:val="26"/>
        </w:rPr>
        <w:t>二、核心问题与变量</w:t>
      </w:r>
    </w:p>
    <w:p>
      <w:r>
        <w:rPr>
          <w:rFonts w:ascii="宋体" w:hAnsi="宋体" w:eastAsia="宋体"/>
          <w:b w:val="0"/>
          <w:sz w:val="22"/>
        </w:rPr>
        <w:t>核心变量：课程获得感；持续参与意愿</w:t>
      </w:r>
    </w:p>
    <w:p>
      <w:r>
        <w:rPr>
          <w:rFonts w:ascii="宋体" w:hAnsi="宋体" w:eastAsia="宋体"/>
          <w:b w:val="0"/>
          <w:sz w:val="22"/>
        </w:rPr>
        <w:t>两个可测研究点：课程获得感；持续参与意愿</w:t>
      </w:r>
    </w:p>
    <w:p>
      <w:r>
        <w:rPr>
          <w:rFonts w:ascii="宋体" w:hAnsi="宋体" w:eastAsia="宋体"/>
          <w:b/>
          <w:sz w:val="26"/>
        </w:rPr>
        <w:t>三、生成假设</w:t>
      </w:r>
    </w:p>
    <w:p>
      <w:r>
        <w:rPr>
          <w:rFonts w:ascii="宋体" w:hAnsi="宋体" w:eastAsia="宋体"/>
          <w:b w:val="0"/>
          <w:sz w:val="22"/>
        </w:rPr>
        <w:t>课程获得感越高，持续参与意愿意愿越强；不同年龄、收入或使用经历群体存在差异。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可通过退休人群兴趣课程相关社区、平台或机构招募样本，采用问卷与访谈测量课程获得感、持续参与意愿及群体差异。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