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“数智创作”——长三角通勤圈首次接触者关于内容创作者AIGC工具的创作效率与版权顾虑研究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研究地区/人群：内容创作者AIGC工具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研究对象：内容创作者AIGC工具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核心变量：创作效率；版权顾虑</w:t>
      </w:r>
    </w:p>
    <w:p>
      <w:r>
        <w:rPr>
          <w:rFonts w:ascii="宋体" w:hAnsi="宋体" w:eastAsia="宋体"/>
          <w:b w:val="0"/>
          <w:sz w:val="22"/>
        </w:rPr>
        <w:t>两个可测研究点：创作效率；版权顾虑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创作效率越高，版权顾虑意愿越强；不同年龄、收入或使用经历群体存在差异。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可通过内容创作者AIGC工具相关社区、平台或机构招募样本，采用问卷与访谈测量创作效率、版权顾虑及群体差异。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