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“国潮寻迹”——京津冀城市群青年用户关于传统文化主题街区游客的内容吸引力与社交分享意愿研究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研究地区/人群：传统文化主题街区游客</w:t>
      </w:r>
    </w:p>
    <w:p>
      <w:r>
        <w:rPr>
          <w:rFonts w:ascii="宋体" w:hAnsi="宋体" w:eastAsia="宋体"/>
          <w:b w:val="0"/>
          <w:sz w:val="22"/>
        </w:rPr>
        <w:t>研究阶段：mid</w:t>
      </w:r>
    </w:p>
    <w:p>
      <w:r>
        <w:rPr>
          <w:rFonts w:ascii="宋体" w:hAnsi="宋体" w:eastAsia="宋体"/>
          <w:b w:val="0"/>
          <w:sz w:val="22"/>
        </w:rPr>
        <w:t>研究对象：传统文化主题街区游客</w:t>
      </w:r>
    </w:p>
    <w:p>
      <w:r>
        <w:rPr>
          <w:rFonts w:ascii="宋体" w:hAnsi="宋体" w:eastAsia="宋体"/>
          <w:b/>
          <w:sz w:val="26"/>
        </w:rPr>
        <w:t>二、核心问题与变量</w:t>
      </w:r>
    </w:p>
    <w:p>
      <w:r>
        <w:rPr>
          <w:rFonts w:ascii="宋体" w:hAnsi="宋体" w:eastAsia="宋体"/>
          <w:b w:val="0"/>
          <w:sz w:val="22"/>
        </w:rPr>
        <w:t>核心变量：内容吸引力；社交分享意愿</w:t>
      </w:r>
    </w:p>
    <w:p>
      <w:r>
        <w:rPr>
          <w:rFonts w:ascii="宋体" w:hAnsi="宋体" w:eastAsia="宋体"/>
          <w:b w:val="0"/>
          <w:sz w:val="22"/>
        </w:rPr>
        <w:t>两个可测研究点：内容吸引力；社交分享意愿</w:t>
      </w:r>
    </w:p>
    <w:p>
      <w:r>
        <w:rPr>
          <w:rFonts w:ascii="宋体" w:hAnsi="宋体" w:eastAsia="宋体"/>
          <w:b/>
          <w:sz w:val="26"/>
        </w:rPr>
        <w:t>三、生成假设</w:t>
      </w:r>
    </w:p>
    <w:p>
      <w:r>
        <w:rPr>
          <w:rFonts w:ascii="宋体" w:hAnsi="宋体" w:eastAsia="宋体"/>
          <w:b w:val="0"/>
          <w:sz w:val="22"/>
        </w:rPr>
        <w:t>内容吸引力越高，社交分享意愿意愿越强；不同年龄、收入或使用经历群体存在差异。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可通过传统文化主题街区游客相关社区、平台或机构招募样本，采用问卷与访谈测量内容吸引力、社交分享意愿及群体差异。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