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“博物馆奇旅”——长三角通勤圈老年居民关于青年博物馆数字展览的互动满意度与线下参观意愿研究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研究地区/人群：青年博物馆数字展览</w:t>
      </w:r>
    </w:p>
    <w:p>
      <w:r>
        <w:rPr>
          <w:rFonts w:ascii="宋体" w:hAnsi="宋体" w:eastAsia="宋体"/>
          <w:b w:val="0"/>
          <w:sz w:val="22"/>
        </w:rPr>
        <w:t>研究阶段：mid</w:t>
      </w:r>
    </w:p>
    <w:p>
      <w:r>
        <w:rPr>
          <w:rFonts w:ascii="宋体" w:hAnsi="宋体" w:eastAsia="宋体"/>
          <w:b w:val="0"/>
          <w:sz w:val="22"/>
        </w:rPr>
        <w:t>研究对象：青年博物馆数字展览</w:t>
      </w:r>
    </w:p>
    <w:p>
      <w:r>
        <w:rPr>
          <w:rFonts w:ascii="宋体" w:hAnsi="宋体" w:eastAsia="宋体"/>
          <w:b/>
          <w:sz w:val="26"/>
        </w:rPr>
        <w:t>二、核心问题与变量</w:t>
      </w:r>
    </w:p>
    <w:p>
      <w:r>
        <w:rPr>
          <w:rFonts w:ascii="宋体" w:hAnsi="宋体" w:eastAsia="宋体"/>
          <w:b w:val="0"/>
          <w:sz w:val="22"/>
        </w:rPr>
        <w:t>核心变量：互动满意度；线下参观意愿</w:t>
      </w:r>
    </w:p>
    <w:p>
      <w:r>
        <w:rPr>
          <w:rFonts w:ascii="宋体" w:hAnsi="宋体" w:eastAsia="宋体"/>
          <w:b w:val="0"/>
          <w:sz w:val="22"/>
        </w:rPr>
        <w:t>两个可测研究点：互动满意度；线下参观意愿</w:t>
      </w:r>
    </w:p>
    <w:p>
      <w:r>
        <w:rPr>
          <w:rFonts w:ascii="宋体" w:hAnsi="宋体" w:eastAsia="宋体"/>
          <w:b/>
          <w:sz w:val="26"/>
        </w:rPr>
        <w:t>三、生成假设</w:t>
      </w:r>
    </w:p>
    <w:p>
      <w:r>
        <w:rPr>
          <w:rFonts w:ascii="宋体" w:hAnsi="宋体" w:eastAsia="宋体"/>
          <w:b w:val="0"/>
          <w:sz w:val="22"/>
        </w:rPr>
        <w:t>互动满意度越高，线下参观意愿意愿越强；不同年龄、收入或使用经历群体存在差异。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可通过青年博物馆数字展览相关社区、平台或机构招募样本，采用问卷与访谈测量互动满意度、线下参观意愿及群体差异。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