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“咖啡下沉”——京津冀城市群老年居民关于非一线城市咖啡消费者的口味偏好与到店频率研究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研究地区/人群：非一线城市咖啡消费者</w:t>
      </w:r>
    </w:p>
    <w:p>
      <w:r>
        <w:rPr>
          <w:rFonts w:ascii="宋体" w:hAnsi="宋体" w:eastAsia="宋体"/>
          <w:b w:val="0"/>
          <w:sz w:val="22"/>
        </w:rPr>
        <w:t>研究阶段：mid</w:t>
      </w:r>
    </w:p>
    <w:p>
      <w:r>
        <w:rPr>
          <w:rFonts w:ascii="宋体" w:hAnsi="宋体" w:eastAsia="宋体"/>
          <w:b w:val="0"/>
          <w:sz w:val="22"/>
        </w:rPr>
        <w:t>研究对象：非一线城市咖啡消费者</w:t>
      </w:r>
    </w:p>
    <w:p>
      <w:r>
        <w:rPr>
          <w:rFonts w:ascii="宋体" w:hAnsi="宋体" w:eastAsia="宋体"/>
          <w:b/>
          <w:sz w:val="26"/>
        </w:rPr>
        <w:t>二、核心问题与变量</w:t>
      </w:r>
    </w:p>
    <w:p>
      <w:r>
        <w:rPr>
          <w:rFonts w:ascii="宋体" w:hAnsi="宋体" w:eastAsia="宋体"/>
          <w:b w:val="0"/>
          <w:sz w:val="22"/>
        </w:rPr>
        <w:t>核心变量：口味偏好；到店频率</w:t>
      </w:r>
    </w:p>
    <w:p>
      <w:r>
        <w:rPr>
          <w:rFonts w:ascii="宋体" w:hAnsi="宋体" w:eastAsia="宋体"/>
          <w:b w:val="0"/>
          <w:sz w:val="22"/>
        </w:rPr>
        <w:t>两个可测研究点：口味偏好；到店频率</w:t>
      </w:r>
    </w:p>
    <w:p>
      <w:r>
        <w:rPr>
          <w:rFonts w:ascii="宋体" w:hAnsi="宋体" w:eastAsia="宋体"/>
          <w:b/>
          <w:sz w:val="26"/>
        </w:rPr>
        <w:t>三、生成假设</w:t>
      </w:r>
    </w:p>
    <w:p>
      <w:r>
        <w:rPr>
          <w:rFonts w:ascii="宋体" w:hAnsi="宋体" w:eastAsia="宋体"/>
          <w:b w:val="0"/>
          <w:sz w:val="22"/>
        </w:rPr>
        <w:t>口味偏好越高，到店频率意愿越强；不同年龄、收入或使用经历群体存在差异。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可通过非一线城市咖啡消费者相关社区、平台或机构招募样本，采用问卷与访谈测量口味偏好、到店频率及群体差异。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