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“商圈夜行”——温州县域中年家庭关于城市夜间商圈消费者的场景吸引力与停留时长研究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研究地区/人群：城市夜间商圈消费者</w:t>
      </w:r>
    </w:p>
    <w:p>
      <w:r>
        <w:rPr>
          <w:rFonts w:ascii="宋体" w:hAnsi="宋体" w:eastAsia="宋体"/>
          <w:b w:val="0"/>
          <w:sz w:val="22"/>
        </w:rPr>
        <w:t>研究阶段：mid</w:t>
      </w:r>
    </w:p>
    <w:p>
      <w:r>
        <w:rPr>
          <w:rFonts w:ascii="宋体" w:hAnsi="宋体" w:eastAsia="宋体"/>
          <w:b w:val="0"/>
          <w:sz w:val="22"/>
        </w:rPr>
        <w:t>研究对象：城市夜间商圈消费者</w:t>
      </w:r>
    </w:p>
    <w:p>
      <w:r>
        <w:rPr>
          <w:rFonts w:ascii="宋体" w:hAnsi="宋体" w:eastAsia="宋体"/>
          <w:b/>
          <w:sz w:val="26"/>
        </w:rPr>
        <w:t>二、核心问题与变量</w:t>
      </w:r>
    </w:p>
    <w:p>
      <w:r>
        <w:rPr>
          <w:rFonts w:ascii="宋体" w:hAnsi="宋体" w:eastAsia="宋体"/>
          <w:b w:val="0"/>
          <w:sz w:val="22"/>
        </w:rPr>
        <w:t>核心变量：场景吸引力；停留时长</w:t>
      </w:r>
    </w:p>
    <w:p>
      <w:r>
        <w:rPr>
          <w:rFonts w:ascii="宋体" w:hAnsi="宋体" w:eastAsia="宋体"/>
          <w:b w:val="0"/>
          <w:sz w:val="22"/>
        </w:rPr>
        <w:t>两个可测研究点：场景吸引力；停留时长</w:t>
      </w:r>
    </w:p>
    <w:p>
      <w:r>
        <w:rPr>
          <w:rFonts w:ascii="宋体" w:hAnsi="宋体" w:eastAsia="宋体"/>
          <w:b/>
          <w:sz w:val="26"/>
        </w:rPr>
        <w:t>三、生成假设</w:t>
      </w:r>
    </w:p>
    <w:p>
      <w:r>
        <w:rPr>
          <w:rFonts w:ascii="宋体" w:hAnsi="宋体" w:eastAsia="宋体"/>
          <w:b w:val="0"/>
          <w:sz w:val="22"/>
        </w:rPr>
        <w:t>场景吸引力越高，停留时长意愿越强；不同年龄、收入或使用经历群体存在差异。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可通过城市夜间商圈消费者相关社区、平台或机构招募样本，采用问卷与访谈测量场景吸引力、停留时长及群体差异。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