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“即时到家”——京津冀城市群中年家庭关于城市居民即时零售用户的配送时效满意度与溢价支付意愿研究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研究地区/人群：城市居民即时零售用户</w:t>
      </w:r>
    </w:p>
    <w:p>
      <w:r>
        <w:rPr>
          <w:rFonts w:ascii="宋体" w:hAnsi="宋体" w:eastAsia="宋体"/>
          <w:b w:val="0"/>
          <w:sz w:val="22"/>
        </w:rPr>
        <w:t>研究阶段：mid</w:t>
      </w:r>
    </w:p>
    <w:p>
      <w:r>
        <w:rPr>
          <w:rFonts w:ascii="宋体" w:hAnsi="宋体" w:eastAsia="宋体"/>
          <w:b w:val="0"/>
          <w:sz w:val="22"/>
        </w:rPr>
        <w:t>研究对象：城市居民即时零售用户</w:t>
      </w:r>
    </w:p>
    <w:p>
      <w:r>
        <w:rPr>
          <w:rFonts w:ascii="宋体" w:hAnsi="宋体" w:eastAsia="宋体"/>
          <w:b/>
          <w:sz w:val="26"/>
        </w:rPr>
        <w:t>二、核心问题与变量</w:t>
      </w:r>
    </w:p>
    <w:p>
      <w:r>
        <w:rPr>
          <w:rFonts w:ascii="宋体" w:hAnsi="宋体" w:eastAsia="宋体"/>
          <w:b w:val="0"/>
          <w:sz w:val="22"/>
        </w:rPr>
        <w:t>核心变量：配送时效满意度；溢价支付意愿</w:t>
      </w:r>
    </w:p>
    <w:p>
      <w:r>
        <w:rPr>
          <w:rFonts w:ascii="宋体" w:hAnsi="宋体" w:eastAsia="宋体"/>
          <w:b w:val="0"/>
          <w:sz w:val="22"/>
        </w:rPr>
        <w:t>两个可测研究点：配送时效满意度；溢价支付意愿</w:t>
      </w:r>
    </w:p>
    <w:p>
      <w:r>
        <w:rPr>
          <w:rFonts w:ascii="宋体" w:hAnsi="宋体" w:eastAsia="宋体"/>
          <w:b/>
          <w:sz w:val="26"/>
        </w:rPr>
        <w:t>三、生成假设</w:t>
      </w:r>
    </w:p>
    <w:p>
      <w:r>
        <w:rPr>
          <w:rFonts w:ascii="宋体" w:hAnsi="宋体" w:eastAsia="宋体"/>
          <w:b w:val="0"/>
          <w:sz w:val="22"/>
        </w:rPr>
        <w:t>配送时效满意度越高，溢价支付意愿意愿越强；不同年龄、收入或使用经历群体存在差异。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可通过城市居民即时零售用户相关社区、平台或机构招募样本，采用问卷与访谈测量配送时效满意度、溢价支付意愿及群体差异。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