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“无感结算”——长三角通勤圈老年居民关于便利店自助结算顾客的操作便利性与隐私顾虑研究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研究地区/人群：便利店自助结算顾客</w:t>
      </w:r>
    </w:p>
    <w:p>
      <w:r>
        <w:rPr>
          <w:rFonts w:ascii="宋体" w:hAnsi="宋体" w:eastAsia="宋体"/>
          <w:b w:val="0"/>
          <w:sz w:val="22"/>
        </w:rPr>
        <w:t>研究阶段：mid</w:t>
      </w:r>
    </w:p>
    <w:p>
      <w:r>
        <w:rPr>
          <w:rFonts w:ascii="宋体" w:hAnsi="宋体" w:eastAsia="宋体"/>
          <w:b w:val="0"/>
          <w:sz w:val="22"/>
        </w:rPr>
        <w:t>研究对象：便利店自助结算顾客</w:t>
      </w:r>
    </w:p>
    <w:p>
      <w:r>
        <w:rPr>
          <w:rFonts w:ascii="宋体" w:hAnsi="宋体" w:eastAsia="宋体"/>
          <w:b/>
          <w:sz w:val="26"/>
        </w:rPr>
        <w:t>二、核心问题与变量</w:t>
      </w:r>
    </w:p>
    <w:p>
      <w:r>
        <w:rPr>
          <w:rFonts w:ascii="宋体" w:hAnsi="宋体" w:eastAsia="宋体"/>
          <w:b w:val="0"/>
          <w:sz w:val="22"/>
        </w:rPr>
        <w:t>核心变量：操作便利性；隐私顾虑</w:t>
      </w:r>
    </w:p>
    <w:p>
      <w:r>
        <w:rPr>
          <w:rFonts w:ascii="宋体" w:hAnsi="宋体" w:eastAsia="宋体"/>
          <w:b w:val="0"/>
          <w:sz w:val="22"/>
        </w:rPr>
        <w:t>两个可测研究点：操作便利性；隐私顾虑</w:t>
      </w:r>
    </w:p>
    <w:p>
      <w:r>
        <w:rPr>
          <w:rFonts w:ascii="宋体" w:hAnsi="宋体" w:eastAsia="宋体"/>
          <w:b/>
          <w:sz w:val="26"/>
        </w:rPr>
        <w:t>三、生成假设</w:t>
      </w:r>
    </w:p>
    <w:p>
      <w:r>
        <w:rPr>
          <w:rFonts w:ascii="宋体" w:hAnsi="宋体" w:eastAsia="宋体"/>
          <w:b w:val="0"/>
          <w:sz w:val="22"/>
        </w:rPr>
        <w:t>操作便利性越高，隐私顾虑意愿越强；不同年龄、收入或使用经历群体存在差异。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可通过便利店自助结算顾客相关社区、平台或机构招募样本，采用问卷与访谈测量操作便利性、隐私顾虑及群体差异。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