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“会员有值”——长三角通勤圈首次接触者关于零售会员用户的权益感知与续费意愿研究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研究地区/人群：零售会员用户</w:t>
      </w:r>
    </w:p>
    <w:p>
      <w:r>
        <w:rPr>
          <w:rFonts w:ascii="宋体" w:hAnsi="宋体" w:eastAsia="宋体"/>
          <w:b w:val="0"/>
          <w:sz w:val="22"/>
        </w:rPr>
        <w:t>研究阶段：mid</w:t>
      </w:r>
    </w:p>
    <w:p>
      <w:r>
        <w:rPr>
          <w:rFonts w:ascii="宋体" w:hAnsi="宋体" w:eastAsia="宋体"/>
          <w:b w:val="0"/>
          <w:sz w:val="22"/>
        </w:rPr>
        <w:t>研究对象：零售会员用户</w:t>
      </w:r>
    </w:p>
    <w:p>
      <w:r>
        <w:rPr>
          <w:rFonts w:ascii="宋体" w:hAnsi="宋体" w:eastAsia="宋体"/>
          <w:b/>
          <w:sz w:val="26"/>
        </w:rPr>
        <w:t>二、核心问题与变量</w:t>
      </w:r>
    </w:p>
    <w:p>
      <w:r>
        <w:rPr>
          <w:rFonts w:ascii="宋体" w:hAnsi="宋体" w:eastAsia="宋体"/>
          <w:b w:val="0"/>
          <w:sz w:val="22"/>
        </w:rPr>
        <w:t>核心变量：权益感知；续费意愿</w:t>
      </w:r>
    </w:p>
    <w:p>
      <w:r>
        <w:rPr>
          <w:rFonts w:ascii="宋体" w:hAnsi="宋体" w:eastAsia="宋体"/>
          <w:b w:val="0"/>
          <w:sz w:val="22"/>
        </w:rPr>
        <w:t>两个可测研究点：权益感知；续费意愿</w:t>
      </w:r>
    </w:p>
    <w:p>
      <w:r>
        <w:rPr>
          <w:rFonts w:ascii="宋体" w:hAnsi="宋体" w:eastAsia="宋体"/>
          <w:b/>
          <w:sz w:val="26"/>
        </w:rPr>
        <w:t>三、生成假设</w:t>
      </w:r>
    </w:p>
    <w:p>
      <w:r>
        <w:rPr>
          <w:rFonts w:ascii="宋体" w:hAnsi="宋体" w:eastAsia="宋体"/>
          <w:b w:val="0"/>
          <w:sz w:val="22"/>
        </w:rPr>
        <w:t>权益感知越高，续费意愿意愿越强；不同年龄、收入或使用经历群体存在差异。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可通过零售会员用户相关社区、平台或机构招募样本，采用问卷与访谈测量权益感知、续费意愿及群体差异。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