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“充电不等”——宁波都市圈青年用户关于新能源汽车车主公共充电的排队时间与换电服务选择研究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研究地区/人群：新能源汽车车主公共充电</w:t>
      </w:r>
    </w:p>
    <w:p>
      <w:r>
        <w:rPr>
          <w:rFonts w:ascii="宋体" w:hAnsi="宋体" w:eastAsia="宋体"/>
          <w:b w:val="0"/>
          <w:sz w:val="22"/>
        </w:rPr>
        <w:t>研究阶段：mid</w:t>
      </w:r>
    </w:p>
    <w:p>
      <w:r>
        <w:rPr>
          <w:rFonts w:ascii="宋体" w:hAnsi="宋体" w:eastAsia="宋体"/>
          <w:b w:val="0"/>
          <w:sz w:val="22"/>
        </w:rPr>
        <w:t>研究对象：新能源汽车车主公共充电</w:t>
      </w:r>
    </w:p>
    <w:p>
      <w:r>
        <w:rPr>
          <w:rFonts w:ascii="宋体" w:hAnsi="宋体" w:eastAsia="宋体"/>
          <w:b/>
          <w:sz w:val="26"/>
        </w:rPr>
        <w:t>二、核心问题与变量</w:t>
      </w:r>
    </w:p>
    <w:p>
      <w:r>
        <w:rPr>
          <w:rFonts w:ascii="宋体" w:hAnsi="宋体" w:eastAsia="宋体"/>
          <w:b w:val="0"/>
          <w:sz w:val="22"/>
        </w:rPr>
        <w:t>核心变量：排队时间；换电服务选择</w:t>
      </w:r>
    </w:p>
    <w:p>
      <w:r>
        <w:rPr>
          <w:rFonts w:ascii="宋体" w:hAnsi="宋体" w:eastAsia="宋体"/>
          <w:b w:val="0"/>
          <w:sz w:val="22"/>
        </w:rPr>
        <w:t>两个可测研究点：排队时间；换电服务选择</w:t>
      </w:r>
    </w:p>
    <w:p>
      <w:r>
        <w:rPr>
          <w:rFonts w:ascii="宋体" w:hAnsi="宋体" w:eastAsia="宋体"/>
          <w:b/>
          <w:sz w:val="26"/>
        </w:rPr>
        <w:t>三、生成假设</w:t>
      </w:r>
    </w:p>
    <w:p>
      <w:r>
        <w:rPr>
          <w:rFonts w:ascii="宋体" w:hAnsi="宋体" w:eastAsia="宋体"/>
          <w:b w:val="0"/>
          <w:sz w:val="22"/>
        </w:rPr>
        <w:t>排队时间越高，换电服务选择意愿越强；不同年龄、收入或使用经历群体存在差异。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可通过新能源汽车车主公共充电相关社区、平台或机构招募样本，采用问卷与访谈测量排队时间、换电服务选择及群体差异。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