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“养老早规划”——中部省会城市青年用户关于青年养老金融产品的风险认知与长期缴费意愿研究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研究地区/人群：青年养老金融产品</w:t>
      </w:r>
    </w:p>
    <w:p>
      <w:r>
        <w:rPr>
          <w:rFonts w:ascii="宋体" w:hAnsi="宋体" w:eastAsia="宋体"/>
          <w:b w:val="0"/>
          <w:sz w:val="22"/>
        </w:rPr>
        <w:t>研究阶段：mid</w:t>
      </w:r>
    </w:p>
    <w:p>
      <w:r>
        <w:rPr>
          <w:rFonts w:ascii="宋体" w:hAnsi="宋体" w:eastAsia="宋体"/>
          <w:b w:val="0"/>
          <w:sz w:val="22"/>
        </w:rPr>
        <w:t>研究对象：青年养老金融产品</w:t>
      </w:r>
    </w:p>
    <w:p>
      <w:r>
        <w:rPr>
          <w:rFonts w:ascii="宋体" w:hAnsi="宋体" w:eastAsia="宋体"/>
          <w:b/>
          <w:sz w:val="26"/>
        </w:rPr>
        <w:t>二、核心问题与变量</w:t>
      </w:r>
    </w:p>
    <w:p>
      <w:r>
        <w:rPr>
          <w:rFonts w:ascii="宋体" w:hAnsi="宋体" w:eastAsia="宋体"/>
          <w:b w:val="0"/>
          <w:sz w:val="22"/>
        </w:rPr>
        <w:t>核心变量：风险认知；长期缴费意愿</w:t>
      </w:r>
    </w:p>
    <w:p>
      <w:r>
        <w:rPr>
          <w:rFonts w:ascii="宋体" w:hAnsi="宋体" w:eastAsia="宋体"/>
          <w:b w:val="0"/>
          <w:sz w:val="22"/>
        </w:rPr>
        <w:t>两个可测研究点：风险认知；长期缴费意愿</w:t>
      </w:r>
    </w:p>
    <w:p>
      <w:r>
        <w:rPr>
          <w:rFonts w:ascii="宋体" w:hAnsi="宋体" w:eastAsia="宋体"/>
          <w:b/>
          <w:sz w:val="26"/>
        </w:rPr>
        <w:t>三、生成假设</w:t>
      </w:r>
    </w:p>
    <w:p>
      <w:r>
        <w:rPr>
          <w:rFonts w:ascii="宋体" w:hAnsi="宋体" w:eastAsia="宋体"/>
          <w:b w:val="0"/>
          <w:sz w:val="22"/>
        </w:rPr>
        <w:t>风险认知越高，长期缴费意愿意愿越强；不同年龄、收入或使用经历群体存在差异。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可通过青年养老金融产品相关社区、平台或机构招募样本，采用问卷与访谈测量风险认知、长期缴费意愿及群体差异。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