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“支付无忧”——宁波都市圈中年家庭关于小微商户数字支付的手续费敏感度与平台迁移意愿研究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研究地区/人群：小微商户数字支付</w:t>
      </w:r>
    </w:p>
    <w:p>
      <w:r>
        <w:rPr>
          <w:rFonts w:ascii="宋体" w:hAnsi="宋体" w:eastAsia="宋体"/>
          <w:b w:val="0"/>
          <w:sz w:val="22"/>
        </w:rPr>
        <w:t>研究阶段：mid</w:t>
      </w:r>
    </w:p>
    <w:p>
      <w:r>
        <w:rPr>
          <w:rFonts w:ascii="宋体" w:hAnsi="宋体" w:eastAsia="宋体"/>
          <w:b w:val="0"/>
          <w:sz w:val="22"/>
        </w:rPr>
        <w:t>研究对象：小微商户数字支付</w:t>
      </w:r>
    </w:p>
    <w:p>
      <w:r>
        <w:rPr>
          <w:rFonts w:ascii="宋体" w:hAnsi="宋体" w:eastAsia="宋体"/>
          <w:b/>
          <w:sz w:val="26"/>
        </w:rPr>
        <w:t>二、核心问题与变量</w:t>
      </w:r>
    </w:p>
    <w:p>
      <w:r>
        <w:rPr>
          <w:rFonts w:ascii="宋体" w:hAnsi="宋体" w:eastAsia="宋体"/>
          <w:b w:val="0"/>
          <w:sz w:val="22"/>
        </w:rPr>
        <w:t>核心变量：手续费敏感度；平台迁移意愿</w:t>
      </w:r>
    </w:p>
    <w:p>
      <w:r>
        <w:rPr>
          <w:rFonts w:ascii="宋体" w:hAnsi="宋体" w:eastAsia="宋体"/>
          <w:b w:val="0"/>
          <w:sz w:val="22"/>
        </w:rPr>
        <w:t>两个可测研究点：手续费敏感度；平台迁移意愿</w:t>
      </w:r>
    </w:p>
    <w:p>
      <w:r>
        <w:rPr>
          <w:rFonts w:ascii="宋体" w:hAnsi="宋体" w:eastAsia="宋体"/>
          <w:b/>
          <w:sz w:val="26"/>
        </w:rPr>
        <w:t>三、生成假设</w:t>
      </w:r>
    </w:p>
    <w:p>
      <w:r>
        <w:rPr>
          <w:rFonts w:ascii="宋体" w:hAnsi="宋体" w:eastAsia="宋体"/>
          <w:b w:val="0"/>
          <w:sz w:val="22"/>
        </w:rPr>
        <w:t>手续费敏感度越高，平台迁移意愿意愿越强；不同年龄、收入或使用经历群体存在差异。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可通过小微商户数字支付相关社区、平台或机构招募样本，采用问卷与访谈测量手续费敏感度、平台迁移意愿及群体差异。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