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“药事安心”——成渝城市群中年家庭关于慢病患者互联网购药的配送可靠性与平台信任研究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研究地区/人群：慢病患者互联网购药</w:t>
      </w:r>
    </w:p>
    <w:p>
      <w:r>
        <w:rPr>
          <w:rFonts w:ascii="宋体" w:hAnsi="宋体" w:eastAsia="宋体"/>
          <w:b w:val="0"/>
          <w:sz w:val="22"/>
        </w:rPr>
        <w:t>研究阶段：mid</w:t>
      </w:r>
    </w:p>
    <w:p>
      <w:r>
        <w:rPr>
          <w:rFonts w:ascii="宋体" w:hAnsi="宋体" w:eastAsia="宋体"/>
          <w:b w:val="0"/>
          <w:sz w:val="22"/>
        </w:rPr>
        <w:t>研究对象：慢病患者互联网购药</w:t>
      </w:r>
    </w:p>
    <w:p>
      <w:r>
        <w:rPr>
          <w:rFonts w:ascii="宋体" w:hAnsi="宋体" w:eastAsia="宋体"/>
          <w:b/>
          <w:sz w:val="26"/>
        </w:rPr>
        <w:t>二、核心问题与变量</w:t>
      </w:r>
    </w:p>
    <w:p>
      <w:r>
        <w:rPr>
          <w:rFonts w:ascii="宋体" w:hAnsi="宋体" w:eastAsia="宋体"/>
          <w:b w:val="0"/>
          <w:sz w:val="22"/>
        </w:rPr>
        <w:t>核心变量：配送可靠性；平台信任</w:t>
      </w:r>
    </w:p>
    <w:p>
      <w:r>
        <w:rPr>
          <w:rFonts w:ascii="宋体" w:hAnsi="宋体" w:eastAsia="宋体"/>
          <w:b w:val="0"/>
          <w:sz w:val="22"/>
        </w:rPr>
        <w:t>两个可测研究点：配送可靠性；平台信任</w:t>
      </w:r>
    </w:p>
    <w:p>
      <w:r>
        <w:rPr>
          <w:rFonts w:ascii="宋体" w:hAnsi="宋体" w:eastAsia="宋体"/>
          <w:b/>
          <w:sz w:val="26"/>
        </w:rPr>
        <w:t>三、生成假设</w:t>
      </w:r>
    </w:p>
    <w:p>
      <w:r>
        <w:rPr>
          <w:rFonts w:ascii="宋体" w:hAnsi="宋体" w:eastAsia="宋体"/>
          <w:b w:val="0"/>
          <w:sz w:val="22"/>
        </w:rPr>
        <w:t>配送可靠性越高，平台信任意愿越强；不同年龄、收入或使用经历群体存在差异。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可通过慢病患者互联网购药相关社区、平台或机构招募样本，采用问卷与访谈测量配送可靠性、平台信任及群体差异。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