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“医养相连”——珠三角社区老年居民关于家庭照护者医养结合服务的照护负担与服务支付意愿研究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研究地区/人群：家庭照护者医养结合服务</w:t>
      </w:r>
    </w:p>
    <w:p>
      <w:r>
        <w:rPr>
          <w:rFonts w:ascii="宋体" w:hAnsi="宋体" w:eastAsia="宋体"/>
          <w:b w:val="0"/>
          <w:sz w:val="22"/>
        </w:rPr>
        <w:t>研究阶段：mid</w:t>
      </w:r>
    </w:p>
    <w:p>
      <w:r>
        <w:rPr>
          <w:rFonts w:ascii="宋体" w:hAnsi="宋体" w:eastAsia="宋体"/>
          <w:b w:val="0"/>
          <w:sz w:val="22"/>
        </w:rPr>
        <w:t>研究对象：家庭照护者医养结合服务</w:t>
      </w:r>
    </w:p>
    <w:p>
      <w:r>
        <w:rPr>
          <w:rFonts w:ascii="宋体" w:hAnsi="宋体" w:eastAsia="宋体"/>
          <w:b/>
          <w:sz w:val="26"/>
        </w:rPr>
        <w:t>二、核心问题与变量</w:t>
      </w:r>
    </w:p>
    <w:p>
      <w:r>
        <w:rPr>
          <w:rFonts w:ascii="宋体" w:hAnsi="宋体" w:eastAsia="宋体"/>
          <w:b w:val="0"/>
          <w:sz w:val="22"/>
        </w:rPr>
        <w:t>核心变量：照护负担；服务支付意愿</w:t>
      </w:r>
    </w:p>
    <w:p>
      <w:r>
        <w:rPr>
          <w:rFonts w:ascii="宋体" w:hAnsi="宋体" w:eastAsia="宋体"/>
          <w:b w:val="0"/>
          <w:sz w:val="22"/>
        </w:rPr>
        <w:t>两个可测研究点：照护负担；服务支付意愿</w:t>
      </w:r>
    </w:p>
    <w:p>
      <w:r>
        <w:rPr>
          <w:rFonts w:ascii="宋体" w:hAnsi="宋体" w:eastAsia="宋体"/>
          <w:b/>
          <w:sz w:val="26"/>
        </w:rPr>
        <w:t>三、生成假设</w:t>
      </w:r>
    </w:p>
    <w:p>
      <w:r>
        <w:rPr>
          <w:rFonts w:ascii="宋体" w:hAnsi="宋体" w:eastAsia="宋体"/>
          <w:b w:val="0"/>
          <w:sz w:val="22"/>
        </w:rPr>
        <w:t>照护负担越高，服务支付意愿意愿越强；不同年龄、收入或使用经历群体存在差异。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可通过家庭照护者医养结合服务相关社区、平台或机构招募样本，采用问卷与访谈测量照护负担、服务支付意愿及群体差异。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