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“终身学习”——京津冀城市群青年用户关于城市职场人在线培训的时间适配度与证书认可度研究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研究地区/人群：城市职场人在线培训</w:t>
      </w:r>
    </w:p>
    <w:p>
      <w:r>
        <w:rPr>
          <w:rFonts w:ascii="宋体" w:hAnsi="宋体" w:eastAsia="宋体"/>
          <w:b w:val="0"/>
          <w:sz w:val="22"/>
        </w:rPr>
        <w:t>研究阶段：mid</w:t>
      </w:r>
    </w:p>
    <w:p>
      <w:r>
        <w:rPr>
          <w:rFonts w:ascii="宋体" w:hAnsi="宋体" w:eastAsia="宋体"/>
          <w:b w:val="0"/>
          <w:sz w:val="22"/>
        </w:rPr>
        <w:t>研究对象：城市职场人在线培训</w:t>
      </w:r>
    </w:p>
    <w:p>
      <w:r>
        <w:rPr>
          <w:rFonts w:ascii="宋体" w:hAnsi="宋体" w:eastAsia="宋体"/>
          <w:b/>
          <w:sz w:val="26"/>
        </w:rPr>
        <w:t>二、核心问题与变量</w:t>
      </w:r>
    </w:p>
    <w:p>
      <w:r>
        <w:rPr>
          <w:rFonts w:ascii="宋体" w:hAnsi="宋体" w:eastAsia="宋体"/>
          <w:b w:val="0"/>
          <w:sz w:val="22"/>
        </w:rPr>
        <w:t>核心变量：时间适配度；证书认可度</w:t>
      </w:r>
    </w:p>
    <w:p>
      <w:r>
        <w:rPr>
          <w:rFonts w:ascii="宋体" w:hAnsi="宋体" w:eastAsia="宋体"/>
          <w:b w:val="0"/>
          <w:sz w:val="22"/>
        </w:rPr>
        <w:t>两个可测研究点：时间适配度；证书认可度</w:t>
      </w:r>
    </w:p>
    <w:p>
      <w:r>
        <w:rPr>
          <w:rFonts w:ascii="宋体" w:hAnsi="宋体" w:eastAsia="宋体"/>
          <w:b/>
          <w:sz w:val="26"/>
        </w:rPr>
        <w:t>三、生成假设</w:t>
      </w:r>
    </w:p>
    <w:p>
      <w:r>
        <w:rPr>
          <w:rFonts w:ascii="宋体" w:hAnsi="宋体" w:eastAsia="宋体"/>
          <w:b w:val="0"/>
          <w:sz w:val="22"/>
        </w:rPr>
        <w:t>时间适配度越高，证书认可度意愿越强；不同年龄、收入或使用经历群体存在差异。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可通过城市职场人在线培训相关社区、平台或机构招募样本，采用问卷与访谈测量时间适配度、证书认可度及群体差异。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