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“研学有趣”——中部省会城市老年居民关于亲子研学旅行家庭的内容参与度与家庭支付意愿研究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研究地区/人群：亲子研学旅行家庭</w:t>
      </w:r>
    </w:p>
    <w:p>
      <w:r>
        <w:rPr>
          <w:rFonts w:ascii="宋体" w:hAnsi="宋体" w:eastAsia="宋体"/>
          <w:b w:val="0"/>
          <w:sz w:val="22"/>
        </w:rPr>
        <w:t>研究阶段：mid</w:t>
      </w:r>
    </w:p>
    <w:p>
      <w:r>
        <w:rPr>
          <w:rFonts w:ascii="宋体" w:hAnsi="宋体" w:eastAsia="宋体"/>
          <w:b w:val="0"/>
          <w:sz w:val="22"/>
        </w:rPr>
        <w:t>研究对象：亲子研学旅行家庭</w:t>
      </w:r>
    </w:p>
    <w:p>
      <w:r>
        <w:rPr>
          <w:rFonts w:ascii="宋体" w:hAnsi="宋体" w:eastAsia="宋体"/>
          <w:b/>
          <w:sz w:val="26"/>
        </w:rPr>
        <w:t>二、核心问题与变量</w:t>
      </w:r>
    </w:p>
    <w:p>
      <w:r>
        <w:rPr>
          <w:rFonts w:ascii="宋体" w:hAnsi="宋体" w:eastAsia="宋体"/>
          <w:b w:val="0"/>
          <w:sz w:val="22"/>
        </w:rPr>
        <w:t>核心变量：内容参与度；家庭支付意愿</w:t>
      </w:r>
    </w:p>
    <w:p>
      <w:r>
        <w:rPr>
          <w:rFonts w:ascii="宋体" w:hAnsi="宋体" w:eastAsia="宋体"/>
          <w:b w:val="0"/>
          <w:sz w:val="22"/>
        </w:rPr>
        <w:t>两个可测研究点：内容参与度；家庭支付意愿</w:t>
      </w:r>
    </w:p>
    <w:p>
      <w:r>
        <w:rPr>
          <w:rFonts w:ascii="宋体" w:hAnsi="宋体" w:eastAsia="宋体"/>
          <w:b/>
          <w:sz w:val="26"/>
        </w:rPr>
        <w:t>三、生成假设</w:t>
      </w:r>
    </w:p>
    <w:p>
      <w:r>
        <w:rPr>
          <w:rFonts w:ascii="宋体" w:hAnsi="宋体" w:eastAsia="宋体"/>
          <w:b w:val="0"/>
          <w:sz w:val="22"/>
        </w:rPr>
        <w:t>内容参与度越高，家庭支付意愿意愿越强；不同年龄、收入或使用经历群体存在差异。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可通过亲子研学旅行家庭相关社区、平台或机构招募样本，采用问卷与访谈测量内容参与度、家庭支付意愿及群体差异。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