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“青年就业”——长三角通勤圈中年家庭关于高校毕业生就业服务的信息获得感与服务使用意愿研究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研究地区/人群：高校毕业生就业服务</w:t>
      </w:r>
    </w:p>
    <w:p>
      <w:r>
        <w:rPr>
          <w:rFonts w:ascii="宋体" w:hAnsi="宋体" w:eastAsia="宋体"/>
          <w:b w:val="0"/>
          <w:sz w:val="22"/>
        </w:rPr>
        <w:t>研究阶段：mid</w:t>
      </w:r>
    </w:p>
    <w:p>
      <w:r>
        <w:rPr>
          <w:rFonts w:ascii="宋体" w:hAnsi="宋体" w:eastAsia="宋体"/>
          <w:b w:val="0"/>
          <w:sz w:val="22"/>
        </w:rPr>
        <w:t>研究对象：高校毕业生就业服务</w:t>
      </w:r>
    </w:p>
    <w:p>
      <w:r>
        <w:rPr>
          <w:rFonts w:ascii="宋体" w:hAnsi="宋体" w:eastAsia="宋体"/>
          <w:b/>
          <w:sz w:val="26"/>
        </w:rPr>
        <w:t>二、核心问题与变量</w:t>
      </w:r>
    </w:p>
    <w:p>
      <w:r>
        <w:rPr>
          <w:rFonts w:ascii="宋体" w:hAnsi="宋体" w:eastAsia="宋体"/>
          <w:b w:val="0"/>
          <w:sz w:val="22"/>
        </w:rPr>
        <w:t>核心变量：信息获得感；服务使用意愿</w:t>
      </w:r>
    </w:p>
    <w:p>
      <w:r>
        <w:rPr>
          <w:rFonts w:ascii="宋体" w:hAnsi="宋体" w:eastAsia="宋体"/>
          <w:b w:val="0"/>
          <w:sz w:val="22"/>
        </w:rPr>
        <w:t>两个可测研究点：信息获得感；服务使用意愿</w:t>
      </w:r>
    </w:p>
    <w:p>
      <w:r>
        <w:rPr>
          <w:rFonts w:ascii="宋体" w:hAnsi="宋体" w:eastAsia="宋体"/>
          <w:b/>
          <w:sz w:val="26"/>
        </w:rPr>
        <w:t>三、生成假设</w:t>
      </w:r>
    </w:p>
    <w:p>
      <w:r>
        <w:rPr>
          <w:rFonts w:ascii="宋体" w:hAnsi="宋体" w:eastAsia="宋体"/>
          <w:b w:val="0"/>
          <w:sz w:val="22"/>
        </w:rPr>
        <w:t>信息获得感越高，服务使用意愿意愿越强；不同年龄、收入或使用经历群体存在差异。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可通过高校毕业生就业服务相关社区、平台或机构招募样本，采用问卷与访谈测量信息获得感、服务使用意愿及群体差异。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