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“副业有边界”——珠三角社区中年家庭关于青年职场人副业行为的时间冲突与收入期待研究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研究地区/人群：青年职场人副业行为</w:t>
      </w:r>
    </w:p>
    <w:p>
      <w:r>
        <w:rPr>
          <w:rFonts w:ascii="宋体" w:hAnsi="宋体" w:eastAsia="宋体"/>
          <w:b w:val="0"/>
          <w:sz w:val="22"/>
        </w:rPr>
        <w:t>研究阶段：mid</w:t>
      </w:r>
    </w:p>
    <w:p>
      <w:r>
        <w:rPr>
          <w:rFonts w:ascii="宋体" w:hAnsi="宋体" w:eastAsia="宋体"/>
          <w:b w:val="0"/>
          <w:sz w:val="22"/>
        </w:rPr>
        <w:t>研究对象：青年职场人副业行为</w:t>
      </w:r>
    </w:p>
    <w:p>
      <w:r>
        <w:rPr>
          <w:rFonts w:ascii="宋体" w:hAnsi="宋体" w:eastAsia="宋体"/>
          <w:b/>
          <w:sz w:val="26"/>
        </w:rPr>
        <w:t>二、核心问题与变量</w:t>
      </w:r>
    </w:p>
    <w:p>
      <w:r>
        <w:rPr>
          <w:rFonts w:ascii="宋体" w:hAnsi="宋体" w:eastAsia="宋体"/>
          <w:b w:val="0"/>
          <w:sz w:val="22"/>
        </w:rPr>
        <w:t>核心变量：时间冲突；收入期待</w:t>
      </w:r>
    </w:p>
    <w:p>
      <w:r>
        <w:rPr>
          <w:rFonts w:ascii="宋体" w:hAnsi="宋体" w:eastAsia="宋体"/>
          <w:b w:val="0"/>
          <w:sz w:val="22"/>
        </w:rPr>
        <w:t>两个可测研究点：时间冲突；收入期待</w:t>
      </w:r>
    </w:p>
    <w:p>
      <w:r>
        <w:rPr>
          <w:rFonts w:ascii="宋体" w:hAnsi="宋体" w:eastAsia="宋体"/>
          <w:b/>
          <w:sz w:val="26"/>
        </w:rPr>
        <w:t>三、生成假设</w:t>
      </w:r>
    </w:p>
    <w:p>
      <w:r>
        <w:rPr>
          <w:rFonts w:ascii="宋体" w:hAnsi="宋体" w:eastAsia="宋体"/>
          <w:b w:val="0"/>
          <w:sz w:val="22"/>
        </w:rPr>
        <w:t>时间冲突越高，收入期待意愿越强；不同年龄、收入或使用经历群体存在差异。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可通过青年职场人副业行为相关社区、平台或机构招募样本，采用问卷与访谈测量时间冲突、收入期待及群体差异。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