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“灵活有保障”——温州县域老年居民关于外卖骑手职业保障服务的保障认知与参保意愿研究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研究地区/人群：外卖骑手职业保障服务</w:t>
      </w:r>
    </w:p>
    <w:p>
      <w:r>
        <w:rPr>
          <w:rFonts w:ascii="宋体" w:hAnsi="宋体" w:eastAsia="宋体"/>
          <w:b w:val="0"/>
          <w:sz w:val="22"/>
        </w:rPr>
        <w:t>研究阶段：mid</w:t>
      </w:r>
    </w:p>
    <w:p>
      <w:r>
        <w:rPr>
          <w:rFonts w:ascii="宋体" w:hAnsi="宋体" w:eastAsia="宋体"/>
          <w:b w:val="0"/>
          <w:sz w:val="22"/>
        </w:rPr>
        <w:t>研究对象：外卖骑手职业保障服务</w:t>
      </w:r>
    </w:p>
    <w:p>
      <w:r>
        <w:rPr>
          <w:rFonts w:ascii="宋体" w:hAnsi="宋体" w:eastAsia="宋体"/>
          <w:b/>
          <w:sz w:val="26"/>
        </w:rPr>
        <w:t>二、核心问题与变量</w:t>
      </w:r>
    </w:p>
    <w:p>
      <w:r>
        <w:rPr>
          <w:rFonts w:ascii="宋体" w:hAnsi="宋体" w:eastAsia="宋体"/>
          <w:b w:val="0"/>
          <w:sz w:val="22"/>
        </w:rPr>
        <w:t>核心变量：保障认知；参保意愿</w:t>
      </w:r>
    </w:p>
    <w:p>
      <w:r>
        <w:rPr>
          <w:rFonts w:ascii="宋体" w:hAnsi="宋体" w:eastAsia="宋体"/>
          <w:b w:val="0"/>
          <w:sz w:val="22"/>
        </w:rPr>
        <w:t>两个可测研究点：保障认知；参保意愿</w:t>
      </w:r>
    </w:p>
    <w:p>
      <w:r>
        <w:rPr>
          <w:rFonts w:ascii="宋体" w:hAnsi="宋体" w:eastAsia="宋体"/>
          <w:b/>
          <w:sz w:val="26"/>
        </w:rPr>
        <w:t>三、生成假设</w:t>
      </w:r>
    </w:p>
    <w:p>
      <w:r>
        <w:rPr>
          <w:rFonts w:ascii="宋体" w:hAnsi="宋体" w:eastAsia="宋体"/>
          <w:b w:val="0"/>
          <w:sz w:val="22"/>
        </w:rPr>
        <w:t>保障认知越高，参保意愿意愿越强；不同年龄、收入或使用经历群体存在差异。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可通过外卖骑手职业保障服务相关社区、平台或机构招募样本，采用问卷与访谈测量保障认知、参保意愿及群体差异。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