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“农业智管”——珠三角社区老年居民关于小农户智慧农业设备的操作门槛与购买支付意愿研究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研究地区/人群：小农户智慧农业设备</w:t>
      </w:r>
    </w:p>
    <w:p>
      <w:r>
        <w:rPr>
          <w:rFonts w:ascii="宋体" w:hAnsi="宋体" w:eastAsia="宋体"/>
          <w:b w:val="0"/>
          <w:sz w:val="22"/>
        </w:rPr>
        <w:t>研究阶段：mid</w:t>
      </w:r>
    </w:p>
    <w:p>
      <w:r>
        <w:rPr>
          <w:rFonts w:ascii="宋体" w:hAnsi="宋体" w:eastAsia="宋体"/>
          <w:b w:val="0"/>
          <w:sz w:val="22"/>
        </w:rPr>
        <w:t>研究对象：小农户智慧农业设备</w:t>
      </w:r>
    </w:p>
    <w:p>
      <w:r>
        <w:rPr>
          <w:rFonts w:ascii="宋体" w:hAnsi="宋体" w:eastAsia="宋体"/>
          <w:b/>
          <w:sz w:val="26"/>
        </w:rPr>
        <w:t>二、核心问题与变量</w:t>
      </w:r>
    </w:p>
    <w:p>
      <w:r>
        <w:rPr>
          <w:rFonts w:ascii="宋体" w:hAnsi="宋体" w:eastAsia="宋体"/>
          <w:b w:val="0"/>
          <w:sz w:val="22"/>
        </w:rPr>
        <w:t>核心变量：操作门槛；购买支付意愿</w:t>
      </w:r>
    </w:p>
    <w:p>
      <w:r>
        <w:rPr>
          <w:rFonts w:ascii="宋体" w:hAnsi="宋体" w:eastAsia="宋体"/>
          <w:b w:val="0"/>
          <w:sz w:val="22"/>
        </w:rPr>
        <w:t>两个可测研究点：操作门槛；购买支付意愿</w:t>
      </w:r>
    </w:p>
    <w:p>
      <w:r>
        <w:rPr>
          <w:rFonts w:ascii="宋体" w:hAnsi="宋体" w:eastAsia="宋体"/>
          <w:b/>
          <w:sz w:val="26"/>
        </w:rPr>
        <w:t>三、生成假设</w:t>
      </w:r>
    </w:p>
    <w:p>
      <w:r>
        <w:rPr>
          <w:rFonts w:ascii="宋体" w:hAnsi="宋体" w:eastAsia="宋体"/>
          <w:b w:val="0"/>
          <w:sz w:val="22"/>
        </w:rPr>
        <w:t>操作门槛越高，购买支付意愿意愿越强；不同年龄、收入或使用经历群体存在差异。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可通过小农户智慧农业设备相关社区、平台或机构招募样本，采用问卷与访谈测量操作门槛、购买支付意愿及群体差异。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