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“品牌进城”——成渝城市群首次接触者关于县域农产品消费者的品牌信任与复购频率研究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研究地区/人群：县域农产品消费者</w:t>
      </w:r>
    </w:p>
    <w:p>
      <w:r>
        <w:rPr>
          <w:rFonts w:ascii="宋体" w:hAnsi="宋体" w:eastAsia="宋体"/>
          <w:b w:val="0"/>
          <w:sz w:val="22"/>
        </w:rPr>
        <w:t>研究阶段：mid</w:t>
      </w:r>
    </w:p>
    <w:p>
      <w:r>
        <w:rPr>
          <w:rFonts w:ascii="宋体" w:hAnsi="宋体" w:eastAsia="宋体"/>
          <w:b w:val="0"/>
          <w:sz w:val="22"/>
        </w:rPr>
        <w:t>研究对象：县域农产品消费者</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可通过县域农产品消费者相关社区、平台或机构招募样本，采用问卷与访谈测量品牌信任、复购频率及群体差异。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