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“卡牌潮起”——中部省会城市青年用户关于青年集换式卡牌玩家的稀缺感知与重复购买频率研究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研究地区/人群：青年集换式卡牌玩家</w:t>
      </w:r>
    </w:p>
    <w:p>
      <w:r>
        <w:rPr>
          <w:rFonts w:ascii="宋体" w:hAnsi="宋体" w:eastAsia="宋体"/>
          <w:b w:val="0"/>
          <w:sz w:val="22"/>
        </w:rPr>
        <w:t>研究阶段：mid</w:t>
      </w:r>
    </w:p>
    <w:p>
      <w:r>
        <w:rPr>
          <w:rFonts w:ascii="宋体" w:hAnsi="宋体" w:eastAsia="宋体"/>
          <w:b w:val="0"/>
          <w:sz w:val="22"/>
        </w:rPr>
        <w:t>研究对象：青年集换式卡牌玩家</w:t>
      </w:r>
    </w:p>
    <w:p>
      <w:r>
        <w:rPr>
          <w:rFonts w:ascii="宋体" w:hAnsi="宋体" w:eastAsia="宋体"/>
          <w:b/>
          <w:sz w:val="26"/>
        </w:rPr>
        <w:t>二、核心问题与变量</w:t>
      </w:r>
    </w:p>
    <w:p>
      <w:r>
        <w:rPr>
          <w:rFonts w:ascii="宋体" w:hAnsi="宋体" w:eastAsia="宋体"/>
          <w:b w:val="0"/>
          <w:sz w:val="22"/>
        </w:rPr>
        <w:t>核心变量：稀缺感知；重复购买频率</w:t>
      </w:r>
    </w:p>
    <w:p>
      <w:r>
        <w:rPr>
          <w:rFonts w:ascii="宋体" w:hAnsi="宋体" w:eastAsia="宋体"/>
          <w:b w:val="0"/>
          <w:sz w:val="22"/>
        </w:rPr>
        <w:t>两个可测研究点：稀缺感知；重复购买频率</w:t>
      </w:r>
    </w:p>
    <w:p>
      <w:r>
        <w:rPr>
          <w:rFonts w:ascii="宋体" w:hAnsi="宋体" w:eastAsia="宋体"/>
          <w:b/>
          <w:sz w:val="26"/>
        </w:rPr>
        <w:t>三、生成假设</w:t>
      </w:r>
    </w:p>
    <w:p>
      <w:r>
        <w:rPr>
          <w:rFonts w:ascii="宋体" w:hAnsi="宋体" w:eastAsia="宋体"/>
          <w:b w:val="0"/>
          <w:sz w:val="22"/>
        </w:rPr>
        <w:t>稀缺感知越高，重复购买频率意愿越强；不同年龄、收入或使用经历群体存在差异。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可通过青年集换式卡牌玩家相关社区、平台或机构招募样本，采用问卷与访谈测量稀缺感知、重复购买频率及群体差异。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