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“虚拟陪伴”——长三角通勤圈中年家庭关于青年虚拟偶像用户的情感投入与订阅续费意愿研究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研究地区/人群：青年虚拟偶像用户</w:t>
      </w:r>
    </w:p>
    <w:p>
      <w:r>
        <w:rPr>
          <w:rFonts w:ascii="宋体" w:hAnsi="宋体" w:eastAsia="宋体"/>
          <w:b w:val="0"/>
          <w:sz w:val="22"/>
        </w:rPr>
        <w:t>研究阶段：mid</w:t>
      </w:r>
    </w:p>
    <w:p>
      <w:r>
        <w:rPr>
          <w:rFonts w:ascii="宋体" w:hAnsi="宋体" w:eastAsia="宋体"/>
          <w:b w:val="0"/>
          <w:sz w:val="22"/>
        </w:rPr>
        <w:t>研究对象：青年虚拟偶像用户</w:t>
      </w:r>
    </w:p>
    <w:p>
      <w:r>
        <w:rPr>
          <w:rFonts w:ascii="宋体" w:hAnsi="宋体" w:eastAsia="宋体"/>
          <w:b/>
          <w:sz w:val="26"/>
        </w:rPr>
        <w:t>二、核心问题与变量</w:t>
      </w:r>
    </w:p>
    <w:p>
      <w:r>
        <w:rPr>
          <w:rFonts w:ascii="宋体" w:hAnsi="宋体" w:eastAsia="宋体"/>
          <w:b w:val="0"/>
          <w:sz w:val="22"/>
        </w:rPr>
        <w:t>核心变量：情感投入；订阅续费意愿</w:t>
      </w:r>
    </w:p>
    <w:p>
      <w:r>
        <w:rPr>
          <w:rFonts w:ascii="宋体" w:hAnsi="宋体" w:eastAsia="宋体"/>
          <w:b w:val="0"/>
          <w:sz w:val="22"/>
        </w:rPr>
        <w:t>两个可测研究点：情感投入；订阅续费意愿</w:t>
      </w:r>
    </w:p>
    <w:p>
      <w:r>
        <w:rPr>
          <w:rFonts w:ascii="宋体" w:hAnsi="宋体" w:eastAsia="宋体"/>
          <w:b/>
          <w:sz w:val="26"/>
        </w:rPr>
        <w:t>三、生成假设</w:t>
      </w:r>
    </w:p>
    <w:p>
      <w:r>
        <w:rPr>
          <w:rFonts w:ascii="宋体" w:hAnsi="宋体" w:eastAsia="宋体"/>
          <w:b w:val="0"/>
          <w:sz w:val="22"/>
        </w:rPr>
        <w:t>情感投入越高，订阅续费意愿意愿越强；不同年龄、收入或使用经历群体存在差异。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可通过青年虚拟偶像用户相关社区、平台或机构招募样本，采用问卷与访谈测量情感投入、订阅续费意愿及群体差异。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