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“谷子入圈”——成渝城市群中年家庭关于高校二次元消费者谷子商品的社群认同与月度消费额研究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研究地区/人群：高校二次元消费者谷子商品</w:t>
      </w:r>
    </w:p>
    <w:p>
      <w:r>
        <w:rPr>
          <w:rFonts w:ascii="宋体" w:hAnsi="宋体" w:eastAsia="宋体"/>
          <w:b w:val="0"/>
          <w:sz w:val="22"/>
        </w:rPr>
        <w:t>研究阶段：mid</w:t>
      </w:r>
    </w:p>
    <w:p>
      <w:r>
        <w:rPr>
          <w:rFonts w:ascii="宋体" w:hAnsi="宋体" w:eastAsia="宋体"/>
          <w:b w:val="0"/>
          <w:sz w:val="22"/>
        </w:rPr>
        <w:t>研究对象：高校二次元消费者谷子商品</w:t>
      </w:r>
    </w:p>
    <w:p>
      <w:r>
        <w:rPr>
          <w:rFonts w:ascii="宋体" w:hAnsi="宋体" w:eastAsia="宋体"/>
          <w:b/>
          <w:sz w:val="26"/>
        </w:rPr>
        <w:t>二、核心问题与变量</w:t>
      </w:r>
    </w:p>
    <w:p>
      <w:r>
        <w:rPr>
          <w:rFonts w:ascii="宋体" w:hAnsi="宋体" w:eastAsia="宋体"/>
          <w:b w:val="0"/>
          <w:sz w:val="22"/>
        </w:rPr>
        <w:t>核心变量：社群认同；月度消费额</w:t>
      </w:r>
    </w:p>
    <w:p>
      <w:r>
        <w:rPr>
          <w:rFonts w:ascii="宋体" w:hAnsi="宋体" w:eastAsia="宋体"/>
          <w:b w:val="0"/>
          <w:sz w:val="22"/>
        </w:rPr>
        <w:t>两个可测研究点：社群认同；月度消费额</w:t>
      </w:r>
    </w:p>
    <w:p>
      <w:r>
        <w:rPr>
          <w:rFonts w:ascii="宋体" w:hAnsi="宋体" w:eastAsia="宋体"/>
          <w:b/>
          <w:sz w:val="26"/>
        </w:rPr>
        <w:t>三、生成假设</w:t>
      </w:r>
    </w:p>
    <w:p>
      <w:r>
        <w:rPr>
          <w:rFonts w:ascii="宋体" w:hAnsi="宋体" w:eastAsia="宋体"/>
          <w:b w:val="0"/>
          <w:sz w:val="22"/>
        </w:rPr>
        <w:t>社群认同越高，月度消费额意愿越强；不同年龄、收入或使用经历群体存在差异。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可通过高校二次元消费者谷子商品相关社区、平台或机构招募样本，采用问卷与访谈测量社群认同、月度消费额及群体差异。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