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“国货美妆”——京津冀城市群青年用户关于年轻消费者国产美妆的品牌认同与溢价接受度研究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研究地区/人群：年轻消费者国产美妆</w:t>
      </w:r>
    </w:p>
    <w:p>
      <w:r>
        <w:rPr>
          <w:rFonts w:ascii="宋体" w:hAnsi="宋体" w:eastAsia="宋体"/>
          <w:b w:val="0"/>
          <w:sz w:val="22"/>
        </w:rPr>
        <w:t>研究阶段：mid</w:t>
      </w:r>
    </w:p>
    <w:p>
      <w:r>
        <w:rPr>
          <w:rFonts w:ascii="宋体" w:hAnsi="宋体" w:eastAsia="宋体"/>
          <w:b w:val="0"/>
          <w:sz w:val="22"/>
        </w:rPr>
        <w:t>研究对象：年轻消费者国产美妆</w:t>
      </w:r>
    </w:p>
    <w:p>
      <w:r>
        <w:rPr>
          <w:rFonts w:ascii="宋体" w:hAnsi="宋体" w:eastAsia="宋体"/>
          <w:b/>
          <w:sz w:val="26"/>
        </w:rPr>
        <w:t>二、核心问题与变量</w:t>
      </w:r>
    </w:p>
    <w:p>
      <w:r>
        <w:rPr>
          <w:rFonts w:ascii="宋体" w:hAnsi="宋体" w:eastAsia="宋体"/>
          <w:b w:val="0"/>
          <w:sz w:val="22"/>
        </w:rPr>
        <w:t>核心变量：品牌认同；溢价接受度</w:t>
      </w:r>
    </w:p>
    <w:p>
      <w:r>
        <w:rPr>
          <w:rFonts w:ascii="宋体" w:hAnsi="宋体" w:eastAsia="宋体"/>
          <w:b w:val="0"/>
          <w:sz w:val="22"/>
        </w:rPr>
        <w:t>两个可测研究点：品牌认同；溢价接受度</w:t>
      </w:r>
    </w:p>
    <w:p>
      <w:r>
        <w:rPr>
          <w:rFonts w:ascii="宋体" w:hAnsi="宋体" w:eastAsia="宋体"/>
          <w:b/>
          <w:sz w:val="26"/>
        </w:rPr>
        <w:t>三、生成假设</w:t>
      </w:r>
    </w:p>
    <w:p>
      <w:r>
        <w:rPr>
          <w:rFonts w:ascii="宋体" w:hAnsi="宋体" w:eastAsia="宋体"/>
          <w:b w:val="0"/>
          <w:sz w:val="22"/>
        </w:rPr>
        <w:t>品牌认同越高，溢价接受度意愿越强；不同年龄、收入或使用经历群体存在差异。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可通过年轻消费者国产美妆相关社区、平台或机构招募样本，采用问卷与访谈测量品牌认同、溢价接受度及群体差异。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