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“公共文化”——中部省会城市中年家庭关于城市居民公共文化服务的内容满意度与参与频率研究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研究地区/人群：城市居民公共文化服务</w:t>
      </w:r>
    </w:p>
    <w:p>
      <w:r>
        <w:rPr>
          <w:rFonts w:ascii="宋体" w:hAnsi="宋体" w:eastAsia="宋体"/>
          <w:b w:val="0"/>
          <w:sz w:val="22"/>
        </w:rPr>
        <w:t>研究阶段：mid</w:t>
      </w:r>
    </w:p>
    <w:p>
      <w:r>
        <w:rPr>
          <w:rFonts w:ascii="宋体" w:hAnsi="宋体" w:eastAsia="宋体"/>
          <w:b w:val="0"/>
          <w:sz w:val="22"/>
        </w:rPr>
        <w:t>研究对象：城市居民公共文化服务</w:t>
      </w:r>
    </w:p>
    <w:p>
      <w:r>
        <w:rPr>
          <w:rFonts w:ascii="宋体" w:hAnsi="宋体" w:eastAsia="宋体"/>
          <w:b/>
          <w:sz w:val="26"/>
        </w:rPr>
        <w:t>二、核心问题与变量</w:t>
      </w:r>
    </w:p>
    <w:p>
      <w:r>
        <w:rPr>
          <w:rFonts w:ascii="宋体" w:hAnsi="宋体" w:eastAsia="宋体"/>
          <w:b w:val="0"/>
          <w:sz w:val="22"/>
        </w:rPr>
        <w:t>核心变量：内容满意度；参与频率</w:t>
      </w:r>
    </w:p>
    <w:p>
      <w:r>
        <w:rPr>
          <w:rFonts w:ascii="宋体" w:hAnsi="宋体" w:eastAsia="宋体"/>
          <w:b w:val="0"/>
          <w:sz w:val="22"/>
        </w:rPr>
        <w:t>两个可测研究点：内容满意度；参与频率</w:t>
      </w:r>
    </w:p>
    <w:p>
      <w:r>
        <w:rPr>
          <w:rFonts w:ascii="宋体" w:hAnsi="宋体" w:eastAsia="宋体"/>
          <w:b/>
          <w:sz w:val="26"/>
        </w:rPr>
        <w:t>三、生成假设</w:t>
      </w:r>
    </w:p>
    <w:p>
      <w:r>
        <w:rPr>
          <w:rFonts w:ascii="宋体" w:hAnsi="宋体" w:eastAsia="宋体"/>
          <w:b w:val="0"/>
          <w:sz w:val="22"/>
        </w:rPr>
        <w:t>内容满意度越高，参与频率意愿越强；不同年龄、收入或使用经历群体存在差异。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可通过城市居民公共文化服务相关社区、平台或机构招募样本，采用问卷与访谈测量内容满意度、参与频率及群体差异。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