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1027. “婚前财产协议，爱与契约”——婚前财产公证、协议消费意愿研究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研究对象：筹备结婚且考虑/已签婚前财产协议的青年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核心问题/变量：婚前协议认知与接受度、签署动机（房产/股权/债务隔离）、双方家庭态度、公证费用、感情影响权衡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前协议认知与接受度、签署动机（房产/股权/债务隔离）（感情影响权衡）之间存在可检验的关系，且受群体差异（年龄/收入/地区/身份）调节（待验证）；H2：婚前协议认知与接受度、签署动机（房产/股权/债务隔离）是影响感情影响权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🔶民法典婚姻家庭编规定（全国人大）；🔶婚前财产公证数据（司法部须下载核验）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待婚青年问卷+公证处访谈；获奖黑名单核对：近三年无婚前财产协议获奖题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🔶民法典婚姻家庭编规定（全国人大）；🔶婚前财产公证数据（司法部须下载核验）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