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1351. “搭子文化2.0，万物皆可搭”——搭子文化（细分搭子经济）消费研究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研究对象：建立各类搭子关系（饭搭子/旅游搭子/自习搭子）的年轻人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核心问题/变量：搭子类型细分（饭搭/遛狗/看展）、搭子契约（不越界）、平台撮合（搭子群/App）、AA费用、陌生人信任、友谊升格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搭子类型细分（饭搭/遛狗/看展）、搭子契约（不越界）（友谊升格）之间存在可检验的关系，且受群体差异（年龄/收入/地区/身份）调节（待验证）；H2：搭子类型细分（饭搭/遛狗/看展）、搭子契约（不越界）是影响友谊升格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🔶搭子文化现象研究（青年报告须下载核验）；🔶搭子社交媒体报道（须下载核验）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搭子社群问卷+社交平台访谈；获奖黑名单核对：近三年无搭子文化获奖题（区别于162游戏搭子、1133运动搭子，聚焦泛搭子现象）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🔶搭子文化现象研究（青年报告须下载核验）；🔶搭子社交媒体报道（须下载核验）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